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E2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VÁLLALKOZÁSI FELTÉTELEK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Köszönöm, hogy járművezetői tanulmányait a mi autósiskolánkban szeretné elkezdeni és be is fejezni. A jelentkezők AM, A1, A2, A, B, C, C+E kategóriák között választhatnak, iskolai végzettségük, egészségügyi alkalmasságuk és meglévő engedélyük szerint.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1., Képző szerv megnevezése: 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Sarkadi Zsolt Ernő egyéni vállalkozó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fantázianév: CAR-MAN Autósiskola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 Viola u. 1.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06-76/48-58-68, vagy 06-20/365-2109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2., Cég formája</w:t>
      </w:r>
      <w:r>
        <w:rPr>
          <w:sz w:val="22"/>
          <w:szCs w:val="22"/>
        </w:rPr>
        <w:t>: Egyéni vállalkozó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3., Vállalkozói engedély száma</w:t>
      </w:r>
      <w:r>
        <w:rPr>
          <w:sz w:val="22"/>
          <w:szCs w:val="22"/>
        </w:rPr>
        <w:t>: ES-355886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4., Képzési engedély száma</w:t>
      </w:r>
      <w:r>
        <w:rPr>
          <w:sz w:val="22"/>
          <w:szCs w:val="22"/>
        </w:rPr>
        <w:t>: KH/ST/824/1/2011 és a DA/EL/56/1/2007 számú határozatok (módosított: BA/KV/102/2/2006)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5., Iskolavezető</w:t>
      </w:r>
      <w:r>
        <w:rPr>
          <w:sz w:val="22"/>
          <w:szCs w:val="22"/>
        </w:rPr>
        <w:t>: Sarkadi Zsolt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6., Ügyfélszolgálat címe, telefonszáma, az ügyfélfogadás időpontjai</w:t>
      </w:r>
      <w:r>
        <w:rPr>
          <w:sz w:val="22"/>
          <w:szCs w:val="22"/>
        </w:rPr>
        <w:t>: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Kecskemét, Munkácsy u 19.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Telefon:76/48-58-68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Hétfőtől péntekig: 1</w:t>
      </w:r>
      <w:r w:rsidR="00253A72">
        <w:rPr>
          <w:sz w:val="22"/>
          <w:szCs w:val="22"/>
        </w:rPr>
        <w:t>0</w:t>
      </w:r>
      <w:r>
        <w:rPr>
          <w:sz w:val="22"/>
          <w:szCs w:val="22"/>
        </w:rPr>
        <w:t>-17 óráig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7. Telephelyek</w:t>
      </w:r>
      <w:r>
        <w:rPr>
          <w:sz w:val="22"/>
          <w:szCs w:val="22"/>
        </w:rPr>
        <w:t>: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Munkácsy u. 19.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Kaffka M. u. (AM, A1, A2, A, B, C, C+E kategória)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C2E29" w:rsidRDefault="009C2E29">
      <w:pPr>
        <w:rPr>
          <w:b/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8., Vállalkozási feltételek</w:t>
      </w:r>
      <w:r>
        <w:rPr>
          <w:sz w:val="22"/>
          <w:szCs w:val="22"/>
        </w:rPr>
        <w:t xml:space="preserve">: 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jelentkezési lap kitöltésével (a hátoldalon lévő tudnivalók </w:t>
      </w:r>
      <w:proofErr w:type="gramStart"/>
      <w:r>
        <w:rPr>
          <w:sz w:val="22"/>
          <w:szCs w:val="22"/>
        </w:rPr>
        <w:t>figyelembe vételével</w:t>
      </w:r>
      <w:proofErr w:type="gramEnd"/>
      <w:r>
        <w:rPr>
          <w:sz w:val="22"/>
          <w:szCs w:val="22"/>
        </w:rPr>
        <w:t>) az alábbiakban felsorolt feltételek teljesítése esetén történik:</w:t>
      </w:r>
    </w:p>
    <w:p w:rsidR="009C2E29" w:rsidRDefault="00000000">
      <w:r>
        <w:tab/>
      </w:r>
      <w:r>
        <w:tab/>
        <w:t xml:space="preserve"> - írásban történő képzési szerződéskötés (fiatalkorú, 18. életévét be nem töltött személy szerződését a törvényes képviselőnek is alá kell írnia)</w:t>
      </w:r>
    </w:p>
    <w:p w:rsidR="009C2E29" w:rsidRDefault="00000000">
      <w:r>
        <w:tab/>
        <w:t xml:space="preserve">Járművezetői tanfolyamra az a személy vehető fel, aki a kívánt járművezetésre jogosító okmány kiadásához szükséges életkort betöltötte, vagy ennél fél évvel fiatalabb és </w:t>
      </w:r>
      <w:proofErr w:type="spellStart"/>
      <w:r>
        <w:t>közlekedésbiztonságilag</w:t>
      </w:r>
      <w:proofErr w:type="spellEnd"/>
      <w:r>
        <w:t xml:space="preserve"> alkalmas (pl. cselekvőképessége nincs korlátozva, nincs eltiltva a közúti járművezetéstől). </w:t>
      </w:r>
    </w:p>
    <w:p w:rsidR="009C2E29" w:rsidRDefault="009C2E29"/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</w:t>
      </w:r>
      <w:proofErr w:type="gramStart"/>
      <w:r>
        <w:rPr>
          <w:rFonts w:ascii="Times New Roman" w:hAnsi="Times New Roman"/>
        </w:rPr>
        <w:t>nél  kell</w:t>
      </w:r>
      <w:proofErr w:type="gramEnd"/>
      <w:r>
        <w:rPr>
          <w:rFonts w:ascii="Times New Roman" w:hAnsi="Times New Roman"/>
        </w:rPr>
        <w:t xml:space="preserve"> bemutatni.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9., Előírt egészségi, iskolai és PÁV alkalmassági, valamint előírt életkori feltételek </w:t>
      </w:r>
      <w:proofErr w:type="spellStart"/>
      <w:r>
        <w:rPr>
          <w:rFonts w:ascii="Times New Roman" w:hAnsi="Times New Roman"/>
          <w:b/>
        </w:rPr>
        <w:t>kategóriánként</w:t>
      </w:r>
      <w:proofErr w:type="spellEnd"/>
      <w:r>
        <w:rPr>
          <w:rFonts w:ascii="Times New Roman" w:hAnsi="Times New Roman"/>
          <w:u w:val="single"/>
        </w:rPr>
        <w:t>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ÉLETK. </w:t>
            </w:r>
            <w:proofErr w:type="spellStart"/>
            <w:r>
              <w:rPr>
                <w:rFonts w:ascii="Times New Roman" w:hAnsi="Times New Roman"/>
              </w:rPr>
              <w:t>Kresz</w:t>
            </w:r>
            <w:proofErr w:type="spellEnd"/>
            <w:r>
              <w:rPr>
                <w:rFonts w:ascii="Times New Roman" w:hAnsi="Times New Roman"/>
              </w:rPr>
              <w:t xml:space="preserve">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gyak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EÜ. ALK.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M.köz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Írás, olv. </w:t>
            </w:r>
            <w:proofErr w:type="spellStart"/>
            <w:r>
              <w:rPr>
                <w:rFonts w:ascii="Times New Roman" w:hAnsi="Times New Roman"/>
              </w:rPr>
              <w:t>ism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A(</w:t>
            </w:r>
            <w:proofErr w:type="gramEnd"/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(7) B kat. érv. </w:t>
            </w:r>
            <w:proofErr w:type="spellStart"/>
            <w:r>
              <w:rPr>
                <w:rFonts w:ascii="Times New Roman" w:hAnsi="Times New Roman"/>
              </w:rPr>
              <w:t>vez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(7) Min. 2 éves jogosítvány, C-kat. Érv. </w:t>
            </w:r>
            <w:proofErr w:type="spellStart"/>
            <w:r>
              <w:rPr>
                <w:rFonts w:ascii="Times New Roman" w:hAnsi="Times New Roman"/>
              </w:rPr>
              <w:t>Vez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Eng</w:t>
            </w:r>
            <w:proofErr w:type="spellEnd"/>
            <w:r>
              <w:rPr>
                <w:rFonts w:ascii="Times New Roman" w:hAnsi="Times New Roman"/>
              </w:rPr>
              <w:t>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kezdőjogosítvánnyal nem rendelkezhet!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10.,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A (5)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(1) érvényes B kategóriás vezetői engedély esetén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(2) A1 alkategória megszerzését követő két éven belül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(3) A1 alkategória megszerzését követő két éven túl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(4)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(5)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5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tantermi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:rsidR="009C2E29" w:rsidRDefault="009C2E29">
      <w:pPr>
        <w:pStyle w:val="Nincstrkz"/>
        <w:rPr>
          <w:rFonts w:ascii="Times New Roman" w:hAnsi="Times New Roman"/>
          <w:i/>
          <w:u w:val="single"/>
        </w:rPr>
      </w:pPr>
    </w:p>
    <w:p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igazolása.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:rsidR="009C2E29" w:rsidRDefault="009C2E29">
      <w:pPr>
        <w:pStyle w:val="Nincstrkz"/>
        <w:ind w:firstLine="708"/>
        <w:rPr>
          <w:rFonts w:ascii="Times New Roman" w:hAnsi="Times New Roman"/>
        </w:rPr>
      </w:pP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</w:t>
      </w:r>
      <w:proofErr w:type="spellStart"/>
      <w:r>
        <w:rPr>
          <w:rFonts w:ascii="Tahoma" w:hAnsi="Tahoma" w:cs="Tahoma"/>
          <w:iCs/>
          <w:color w:val="222222"/>
          <w:sz w:val="20"/>
          <w:szCs w:val="20"/>
        </w:rPr>
        <w:t>tantermi</w:t>
      </w:r>
      <w:proofErr w:type="spellEnd"/>
      <w:r>
        <w:rPr>
          <w:rFonts w:ascii="Tahoma" w:hAnsi="Tahoma" w:cs="Tahoma"/>
          <w:iCs/>
          <w:color w:val="222222"/>
          <w:sz w:val="20"/>
          <w:szCs w:val="20"/>
        </w:rPr>
        <w:t xml:space="preserve"> elméleti képzés helyett az e-</w:t>
      </w:r>
      <w:proofErr w:type="spellStart"/>
      <w:r>
        <w:rPr>
          <w:rFonts w:ascii="Tahoma" w:hAnsi="Tahoma" w:cs="Tahoma"/>
          <w:iCs/>
          <w:color w:val="222222"/>
          <w:sz w:val="20"/>
          <w:szCs w:val="20"/>
        </w:rPr>
        <w:t>learning</w:t>
      </w:r>
      <w:proofErr w:type="spellEnd"/>
      <w:r>
        <w:rPr>
          <w:rFonts w:ascii="Tahoma" w:hAnsi="Tahoma" w:cs="Tahoma"/>
          <w:iCs/>
          <w:color w:val="222222"/>
          <w:sz w:val="20"/>
          <w:szCs w:val="20"/>
        </w:rPr>
        <w:t xml:space="preserve"> képzést is. 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3"/>
        <w:gridCol w:w="897"/>
        <w:gridCol w:w="897"/>
        <w:gridCol w:w="915"/>
        <w:gridCol w:w="1241"/>
        <w:gridCol w:w="1159"/>
        <w:gridCol w:w="904"/>
      </w:tblGrid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F </w:t>
            </w:r>
            <w:proofErr w:type="spellStart"/>
            <w:r>
              <w:rPr>
                <w:rFonts w:ascii="Times New Roman" w:eastAsia="Calibri" w:hAnsi="Times New Roman"/>
              </w:rPr>
              <w:t>össz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Fv</w:t>
            </w:r>
            <w:proofErr w:type="spellEnd"/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Fo</w:t>
            </w:r>
            <w:proofErr w:type="spellEnd"/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Fé</w:t>
            </w:r>
            <w:proofErr w:type="spellEnd"/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B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C2E29">
        <w:trPr>
          <w:trHeight w:val="292"/>
        </w:trPr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9C2E29" w:rsidRDefault="009C2E29"/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* 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Gyakorlati vizsgára bocsátás feltételei: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 C, C+E kategóriák esetén forgalmi vizsgára a tanuló csak sikeres biztonsági ellenőrzés és üzemeltetés vizsga után bocsátható.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sikeres forgalmi vizsgát az első sikeres elméleti vizsgától számított 2 éven belül le kell tenni. A </w:t>
      </w:r>
      <w:proofErr w:type="gramStart"/>
      <w:r>
        <w:rPr>
          <w:rFonts w:ascii="Times New Roman" w:hAnsi="Times New Roman"/>
        </w:rPr>
        <w:t>gyakorlati  vizsga</w:t>
      </w:r>
      <w:proofErr w:type="gramEnd"/>
      <w:r>
        <w:rPr>
          <w:rFonts w:ascii="Times New Roman" w:hAnsi="Times New Roman"/>
        </w:rPr>
        <w:t xml:space="preserve"> időpontját a vizsga előtt öt munkanapon belül már nem lehet módosítani, pótvizsgadíj kifizetése mellett kérhető új vizsga.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forgalmi és egészségügyi vizsga igazolvány megszerzését követően </w:t>
      </w:r>
      <w:proofErr w:type="spellStart"/>
      <w:r>
        <w:rPr>
          <w:rFonts w:ascii="Times New Roman" w:hAnsi="Times New Roman"/>
        </w:rPr>
        <w:t>okányirodában</w:t>
      </w:r>
      <w:proofErr w:type="spellEnd"/>
      <w:r>
        <w:rPr>
          <w:rFonts w:ascii="Times New Roman" w:hAnsi="Times New Roman"/>
        </w:rPr>
        <w:t xml:space="preserve"> lehet kezdeményezni a jogosítvány kiállítását.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Motowell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Derby</w:t>
      </w:r>
      <w:proofErr w:type="spellEnd"/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 xml:space="preserve">: Renault </w:t>
      </w:r>
      <w:proofErr w:type="spellStart"/>
      <w:r>
        <w:rPr>
          <w:rFonts w:ascii="Times New Roman" w:hAnsi="Times New Roman"/>
        </w:rPr>
        <w:t>Megane</w:t>
      </w:r>
      <w:proofErr w:type="spellEnd"/>
      <w:r>
        <w:rPr>
          <w:rFonts w:ascii="Times New Roman" w:hAnsi="Times New Roman"/>
        </w:rPr>
        <w:t xml:space="preserve">, Suzuki Swift, Renault </w:t>
      </w:r>
      <w:proofErr w:type="spellStart"/>
      <w:r>
        <w:rPr>
          <w:rFonts w:ascii="Times New Roman" w:hAnsi="Times New Roman"/>
        </w:rPr>
        <w:t>Scenic</w:t>
      </w:r>
      <w:proofErr w:type="spellEnd"/>
      <w:r>
        <w:rPr>
          <w:rFonts w:ascii="Times New Roman" w:hAnsi="Times New Roman"/>
        </w:rPr>
        <w:t xml:space="preserve">, Volkswagen Golf, Toyota </w:t>
      </w:r>
      <w:proofErr w:type="spellStart"/>
      <w:r>
        <w:rPr>
          <w:rFonts w:ascii="Times New Roman" w:hAnsi="Times New Roman"/>
        </w:rPr>
        <w:t>Yaris</w:t>
      </w:r>
      <w:proofErr w:type="spellEnd"/>
      <w:r>
        <w:rPr>
          <w:rFonts w:ascii="Times New Roman" w:hAnsi="Times New Roman"/>
        </w:rPr>
        <w:t xml:space="preserve">, Suzuki SX 4 (Kecskemét); Renault </w:t>
      </w:r>
      <w:proofErr w:type="spellStart"/>
      <w:r>
        <w:rPr>
          <w:rFonts w:ascii="Times New Roman" w:hAnsi="Times New Roman"/>
        </w:rPr>
        <w:t>Scenic</w:t>
      </w:r>
      <w:proofErr w:type="spellEnd"/>
      <w:r>
        <w:rPr>
          <w:rFonts w:ascii="Times New Roman" w:hAnsi="Times New Roman"/>
        </w:rPr>
        <w:t>, Skoda Rapid (Kalocsa)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Kalydi</w:t>
      </w:r>
      <w:proofErr w:type="spellEnd"/>
      <w:r>
        <w:rPr>
          <w:rFonts w:ascii="Times New Roman" w:hAnsi="Times New Roman"/>
        </w:rPr>
        <w:t xml:space="preserve"> – 21 + </w:t>
      </w:r>
      <w:proofErr w:type="spellStart"/>
      <w:r>
        <w:rPr>
          <w:rFonts w:ascii="Times New Roman" w:hAnsi="Times New Roman"/>
        </w:rPr>
        <w:t>Reanult</w:t>
      </w:r>
      <w:proofErr w:type="spellEnd"/>
      <w:r>
        <w:rPr>
          <w:rFonts w:ascii="Times New Roman" w:hAnsi="Times New Roman"/>
        </w:rPr>
        <w:t xml:space="preserve"> Grand </w:t>
      </w:r>
      <w:proofErr w:type="spellStart"/>
      <w:r>
        <w:rPr>
          <w:rFonts w:ascii="Times New Roman" w:hAnsi="Times New Roman"/>
        </w:rPr>
        <w:t>Scenic</w:t>
      </w:r>
      <w:proofErr w:type="spellEnd"/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Kétkerekű járművezetés gyakorlati oktatása és vizsgája esetén az előírt öltözet viselése (zárt, magas szárú cipő vagy csizma; protektoros védőfelszerelés (gerinc-, térd és könyökvédő); hosszú, szűk szárú, </w:t>
      </w:r>
      <w:r>
        <w:rPr>
          <w:rFonts w:ascii="Times New Roman" w:hAnsi="Times New Roman"/>
        </w:rPr>
        <w:lastRenderedPageBreak/>
        <w:t>erős nadrág, dzseki, kesztyű; szemüveg) kötelező. Ennek hiányában az oktatás ill. a vizsga nem kezdhető el. A gyakorlati oktatáshoz előírt sisakot a képzőszerv köteles biztosítani.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:rsidR="009C2E29" w:rsidRDefault="009C2E29">
      <w:pPr>
        <w:rPr>
          <w:sz w:val="22"/>
          <w:szCs w:val="22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11., Hiányzás pótlásának módja: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12., Tandíj befizetésének módja: 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befizetés történhet egy összegben vagy részletekben.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</w:t>
      </w:r>
      <w:proofErr w:type="gramStart"/>
      <w:r>
        <w:rPr>
          <w:rFonts w:ascii="Times New Roman" w:hAnsi="Times New Roman"/>
        </w:rPr>
        <w:t>60.000,-</w:t>
      </w:r>
      <w:proofErr w:type="gramEnd"/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első vezetési óra előtt: </w:t>
      </w:r>
      <w:proofErr w:type="gramStart"/>
      <w:r>
        <w:rPr>
          <w:rFonts w:ascii="Times New Roman" w:hAnsi="Times New Roman"/>
        </w:rPr>
        <w:t>80.000,-</w:t>
      </w:r>
      <w:proofErr w:type="gramEnd"/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(elsősegélynyújtó tanfolyam- vizsgadíj: 2. </w:t>
      </w:r>
      <w:proofErr w:type="spellStart"/>
      <w:r>
        <w:rPr>
          <w:rFonts w:ascii="Times New Roman" w:hAnsi="Times New Roman"/>
        </w:rPr>
        <w:t>eü</w:t>
      </w:r>
      <w:proofErr w:type="spellEnd"/>
      <w:r>
        <w:rPr>
          <w:rFonts w:ascii="Times New Roman" w:hAnsi="Times New Roman"/>
        </w:rPr>
        <w:t>. előadás előtt)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:rsidR="009C2E29" w:rsidRDefault="009C2E29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50.000,- (AM); 60.000,- (A1/A2); </w:t>
      </w:r>
      <w:proofErr w:type="gramStart"/>
      <w:r>
        <w:rPr>
          <w:rFonts w:ascii="Times New Roman" w:hAnsi="Times New Roman"/>
        </w:rPr>
        <w:t>60.000,-</w:t>
      </w:r>
      <w:proofErr w:type="gramEnd"/>
      <w:r>
        <w:rPr>
          <w:rFonts w:ascii="Times New Roman" w:hAnsi="Times New Roman"/>
        </w:rPr>
        <w:t xml:space="preserve"> (A)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C, CE, BE KATEGÓRIA: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beiratkozásnál 120.000,- (C); </w:t>
      </w:r>
      <w:proofErr w:type="gramStart"/>
      <w:r>
        <w:rPr>
          <w:rFonts w:ascii="Times New Roman" w:hAnsi="Times New Roman"/>
        </w:rPr>
        <w:t>70.000,-</w:t>
      </w:r>
      <w:proofErr w:type="gramEnd"/>
      <w:r>
        <w:rPr>
          <w:rFonts w:ascii="Times New Roman" w:hAnsi="Times New Roman"/>
        </w:rPr>
        <w:t xml:space="preserve"> (CE, BE)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tbl>
      <w:tblPr>
        <w:tblW w:w="5580" w:type="dxa"/>
        <w:tblInd w:w="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822"/>
        <w:gridCol w:w="915"/>
        <w:gridCol w:w="990"/>
        <w:gridCol w:w="1068"/>
        <w:gridCol w:w="988"/>
      </w:tblGrid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9C2E29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Kategória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9C2E29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Elmélet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9C2E29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Gyakorlat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9C2E29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r>
              <w:rPr>
                <w:rFonts w:ascii="Verdana" w:hAnsi="Verdana"/>
                <w:color w:val="0C0A0A"/>
                <w:sz w:val="15"/>
                <w:szCs w:val="15"/>
              </w:rPr>
              <w:t>Összesen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9C2E29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C0A0A"/>
                <w:sz w:val="15"/>
                <w:szCs w:val="15"/>
              </w:rPr>
              <w:t>Gyak</w:t>
            </w:r>
            <w:proofErr w:type="spellEnd"/>
            <w:r>
              <w:rPr>
                <w:rFonts w:ascii="Verdana" w:hAnsi="Verdana"/>
                <w:color w:val="0C0A0A"/>
                <w:sz w:val="15"/>
                <w:szCs w:val="15"/>
              </w:rPr>
              <w:t>. pótóra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3BF00"/>
            <w:vAlign w:val="center"/>
          </w:tcPr>
          <w:p w:rsidR="009C2E29" w:rsidRDefault="00000000">
            <w:pPr>
              <w:widowControl w:val="0"/>
              <w:jc w:val="center"/>
              <w:rPr>
                <w:rFonts w:ascii="Verdana" w:hAnsi="Verdana"/>
                <w:color w:val="0C0A0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C0A0A"/>
                <w:sz w:val="15"/>
                <w:szCs w:val="15"/>
              </w:rPr>
              <w:t>Elm</w:t>
            </w:r>
            <w:proofErr w:type="spellEnd"/>
            <w:r>
              <w:rPr>
                <w:rFonts w:ascii="Verdana" w:hAnsi="Verdana"/>
                <w:color w:val="0C0A0A"/>
                <w:sz w:val="15"/>
                <w:szCs w:val="15"/>
              </w:rPr>
              <w:t>. pótóra*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A1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146 000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A2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146 000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A1 (1)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40 000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70 000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A2 (2)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A2 (3)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48 000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78 000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 (4)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72 000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 (5)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48 000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78 000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 (2)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-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96 000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 (3)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30 000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90 000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 (6)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156 000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206 000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B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246 500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296 500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8 500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B **</w:t>
            </w:r>
          </w:p>
        </w:tc>
        <w:tc>
          <w:tcPr>
            <w:tcW w:w="822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eastAsia="Verdana" w:hAnsi="Verdana" w:cs="Verdana"/>
                <w:color w:val="0C0A0A"/>
                <w:sz w:val="15"/>
                <w:szCs w:val="15"/>
              </w:rPr>
              <w:t>2</w:t>
            </w:r>
            <w:r>
              <w:rPr>
                <w:rFonts w:ascii="Verdana" w:eastAsia="Verdana" w:hAnsi="Verdana" w:cs="Verdana"/>
                <w:color w:val="0C0A0A"/>
                <w:sz w:val="15"/>
                <w:szCs w:val="15"/>
                <w:lang w:eastAsia="ar-SA"/>
              </w:rPr>
              <w:t>75</w:t>
            </w:r>
            <w:r>
              <w:rPr>
                <w:rFonts w:ascii="Verdana" w:eastAsia="Verdana" w:hAnsi="Verdana" w:cs="Verdana"/>
                <w:color w:val="0C0A0A"/>
                <w:sz w:val="15"/>
                <w:szCs w:val="15"/>
              </w:rPr>
              <w:t xml:space="preserve"> 500 F</w:t>
            </w:r>
            <w:r>
              <w:rPr>
                <w:rFonts w:ascii="Verdana" w:hAnsi="Verdana" w:cs="Verdana"/>
                <w:color w:val="0C0A0A"/>
                <w:sz w:val="15"/>
                <w:szCs w:val="15"/>
              </w:rPr>
              <w:t>t</w:t>
            </w:r>
          </w:p>
        </w:tc>
        <w:tc>
          <w:tcPr>
            <w:tcW w:w="990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325 500 Ft</w:t>
            </w:r>
          </w:p>
        </w:tc>
        <w:tc>
          <w:tcPr>
            <w:tcW w:w="1068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9 500 Ft</w:t>
            </w:r>
          </w:p>
        </w:tc>
        <w:tc>
          <w:tcPr>
            <w:tcW w:w="988" w:type="dxa"/>
            <w:tcBorders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B+E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61 700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110 000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171 700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10 000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AM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40 000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90 000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lastRenderedPageBreak/>
              <w:t>C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100 000Ft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224 000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324 000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14 000 Ft</w:t>
            </w:r>
          </w:p>
        </w:tc>
        <w:tc>
          <w:tcPr>
            <w:tcW w:w="98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  <w:tr w:rsidR="009C2E29">
        <w:trPr>
          <w:trHeight w:val="300"/>
        </w:trPr>
        <w:tc>
          <w:tcPr>
            <w:tcW w:w="796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C+E</w:t>
            </w:r>
          </w:p>
        </w:tc>
        <w:tc>
          <w:tcPr>
            <w:tcW w:w="822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50 000 Ft</w:t>
            </w:r>
          </w:p>
        </w:tc>
        <w:tc>
          <w:tcPr>
            <w:tcW w:w="915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180 000 Ft</w:t>
            </w:r>
          </w:p>
        </w:tc>
        <w:tc>
          <w:tcPr>
            <w:tcW w:w="990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DE801"/>
            <w:vAlign w:val="center"/>
          </w:tcPr>
          <w:p w:rsidR="009C2E29" w:rsidRDefault="00000000">
            <w:pPr>
              <w:widowControl w:val="0"/>
              <w:jc w:val="center"/>
            </w:pPr>
            <w:r>
              <w:rPr>
                <w:rFonts w:ascii="Verdana" w:hAnsi="Verdana" w:cs="Verdana"/>
                <w:b/>
                <w:bCs/>
                <w:color w:val="0C0A0A"/>
                <w:sz w:val="15"/>
                <w:szCs w:val="15"/>
              </w:rPr>
              <w:t>230 000 Ft</w:t>
            </w:r>
          </w:p>
        </w:tc>
        <w:tc>
          <w:tcPr>
            <w:tcW w:w="1068" w:type="dxa"/>
            <w:tcBorders>
              <w:top w:val="single" w:sz="6" w:space="0" w:color="DF7618"/>
              <w:left w:val="single" w:sz="6" w:space="0" w:color="DF7618"/>
              <w:bottom w:val="single" w:sz="6" w:space="0" w:color="DF7618"/>
              <w:right w:val="single" w:sz="6" w:space="0" w:color="DF7618"/>
            </w:tcBorders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15 000 Ft</w:t>
            </w:r>
          </w:p>
        </w:tc>
        <w:tc>
          <w:tcPr>
            <w:tcW w:w="988" w:type="dxa"/>
            <w:shd w:val="clear" w:color="auto" w:fill="FCF281"/>
            <w:vAlign w:val="center"/>
          </w:tcPr>
          <w:p w:rsidR="009C2E29" w:rsidRDefault="00000000">
            <w:pPr>
              <w:widowControl w:val="0"/>
              <w:spacing w:after="160"/>
              <w:jc w:val="center"/>
            </w:pPr>
            <w:r>
              <w:rPr>
                <w:rFonts w:ascii="Verdana" w:hAnsi="Verdana" w:cs="Verdana"/>
                <w:color w:val="0C0A0A"/>
                <w:sz w:val="15"/>
                <w:szCs w:val="15"/>
              </w:rPr>
              <w:t>500 Ft</w:t>
            </w:r>
          </w:p>
        </w:tc>
      </w:tr>
    </w:tbl>
    <w:p w:rsidR="009C2E29" w:rsidRDefault="009C2E29"/>
    <w:p w:rsidR="009C2E29" w:rsidRDefault="009C2E29">
      <w:pPr>
        <w:rPr>
          <w:b/>
        </w:rPr>
      </w:pPr>
    </w:p>
    <w:p w:rsidR="009C2E29" w:rsidRDefault="009C2E29">
      <w:pPr>
        <w:rPr>
          <w:b/>
        </w:rPr>
      </w:pP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régi formátumú jogosítványt a tanfolyam elkezdése előtt új formátumúra kell cseréltetni, hogy az </w:t>
      </w: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kategória helyett az A2 kategória legyen bejegyezve.</w:t>
      </w:r>
    </w:p>
    <w:p w:rsidR="009C2E29" w:rsidRDefault="00000000">
      <w:pPr>
        <w:spacing w:after="160" w:line="259" w:lineRule="auto"/>
      </w:pPr>
      <w:r>
        <w:t>*</w:t>
      </w:r>
      <w:proofErr w:type="spellStart"/>
      <w:r>
        <w:t>Tantermi</w:t>
      </w:r>
      <w:proofErr w:type="spellEnd"/>
      <w:r>
        <w:t xml:space="preserve"> képzés esetén.</w:t>
      </w:r>
    </w:p>
    <w:p w:rsidR="009C2E29" w:rsidRDefault="00000000">
      <w:pPr>
        <w:spacing w:after="160" w:line="259" w:lineRule="auto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8.00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 Ft</w:t>
      </w:r>
    </w:p>
    <w:p w:rsidR="009C2E29" w:rsidRDefault="00000000">
      <w:pPr>
        <w:pStyle w:val="Nincstrkz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Áthelyezős</w:t>
      </w:r>
      <w:proofErr w:type="spellEnd"/>
      <w:r>
        <w:rPr>
          <w:rFonts w:ascii="Times New Roman" w:hAnsi="Times New Roman"/>
        </w:rPr>
        <w:t xml:space="preserve"> tanuló esetén a B kategóriás óradíj: 9.500 Ft</w:t>
      </w:r>
    </w:p>
    <w:p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B kategóriás pótvizsgadíj vizsgaórával együtt: 25.000 Ft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Tanfolyami kedvezmények: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hozzánk beiratkozó tanulókat regisztráljuk az E-titán rendszerbe, akiknek elméleti vizsgát kell tenniük. A regisztrációt az </w:t>
      </w:r>
      <w:proofErr w:type="spellStart"/>
      <w:r>
        <w:rPr>
          <w:rFonts w:ascii="Times New Roman" w:hAnsi="Times New Roman"/>
        </w:rPr>
        <w:t>autósiskola</w:t>
      </w:r>
      <w:proofErr w:type="spellEnd"/>
      <w:r>
        <w:rPr>
          <w:rFonts w:ascii="Times New Roman" w:hAnsi="Times New Roman"/>
        </w:rPr>
        <w:t xml:space="preserve"> végzi el legkésőbb az elméleti tanfolyam utolsó hetén és a tanuló véglegesíti a saját e-mail címén keresztül. A gyakorlási idő 30 nap, azon belül 12 óra. Amennyiben ez nem elég, a tanuló kérheti a gyakorlási idő meghosszabbítását, ennek áráról és lehetőségeiről elérhetőségeinken érdeklődhetsz. (*a 2016. január 1. után kezdődő AM/A1/A2/A/B/BE/C/CE kategóriás </w:t>
      </w:r>
      <w:proofErr w:type="spellStart"/>
      <w:r>
        <w:rPr>
          <w:rFonts w:ascii="Times New Roman" w:hAnsi="Times New Roman"/>
        </w:rPr>
        <w:t>tantermi</w:t>
      </w:r>
      <w:proofErr w:type="spellEnd"/>
      <w:r>
        <w:rPr>
          <w:rFonts w:ascii="Times New Roman" w:hAnsi="Times New Roman"/>
        </w:rPr>
        <w:t xml:space="preserve"> tanfolyamok tanulói)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</w:t>
      </w:r>
      <w:proofErr w:type="spellStart"/>
      <w:r>
        <w:rPr>
          <w:rFonts w:ascii="Times New Roman" w:hAnsi="Times New Roman"/>
        </w:rPr>
        <w:t>learning</w:t>
      </w:r>
      <w:proofErr w:type="spellEnd"/>
      <w:r>
        <w:rPr>
          <w:rFonts w:ascii="Times New Roman" w:hAnsi="Times New Roman"/>
        </w:rPr>
        <w:t xml:space="preserve">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:rsidR="009C2E29" w:rsidRDefault="009C2E29">
      <w:pPr>
        <w:pStyle w:val="Nincstrkz"/>
        <w:ind w:left="405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Felmentés feltételei: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 és a Biztonsági ellenőrzés és üzemeltetés” tan- és vizsgatárgyakból.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Bármely egyetemen, főiskolán szerzett:</w:t>
      </w:r>
    </w:p>
    <w:p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üzemben tartó szakos oklevél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 és karbantartó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A „Biztonsági ellenőrzés és üzemeltetés” vizsgatárgy alóli további mentesítések: 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„Biztonsági ellenőrzés és üzemeltetés” </w:t>
      </w:r>
      <w:proofErr w:type="spellStart"/>
      <w:r>
        <w:rPr>
          <w:rFonts w:ascii="Times New Roman" w:hAnsi="Times New Roman"/>
        </w:rPr>
        <w:t>vizsgakötelezettségség</w:t>
      </w:r>
      <w:proofErr w:type="spellEnd"/>
      <w:r>
        <w:rPr>
          <w:rFonts w:ascii="Times New Roman" w:hAnsi="Times New Roman"/>
        </w:rPr>
        <w:t xml:space="preserve"> alól mentesül, aki meglévő „Lassú jármű” vezetői igazolványa alapján mezőgazdasági vontató vezetése „T” kategóriás vizsgát kíván tenni.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közúti járművezetői vizsgáztatás keretében 1993. </w:t>
      </w:r>
      <w:proofErr w:type="gramStart"/>
      <w:r>
        <w:rPr>
          <w:rFonts w:ascii="Times New Roman" w:hAnsi="Times New Roman"/>
        </w:rPr>
        <w:t>Január</w:t>
      </w:r>
      <w:proofErr w:type="gramEnd"/>
      <w:r>
        <w:rPr>
          <w:rFonts w:ascii="Times New Roman" w:hAnsi="Times New Roman"/>
        </w:rPr>
        <w:t xml:space="preserve"> 1. után tett sikeres vizsga a „Munkavédelem, tűzvédelem, szállítás” vizsgatárgyból.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</w:t>
      </w:r>
      <w:proofErr w:type="spellStart"/>
      <w:r>
        <w:rPr>
          <w:rFonts w:ascii="Times New Roman" w:hAnsi="Times New Roman"/>
        </w:rPr>
        <w:t>Közl</w:t>
      </w:r>
      <w:proofErr w:type="spellEnd"/>
      <w:r>
        <w:rPr>
          <w:rFonts w:ascii="Times New Roman" w:hAnsi="Times New Roman"/>
        </w:rPr>
        <w:t>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tanfolyammentes vizsga letételére csak abból a kategóriából jogosult a vizsgázó, amelyből érvényes katonai vezetői engedélye van. Az 1993. </w:t>
      </w:r>
      <w:proofErr w:type="gramStart"/>
      <w:r>
        <w:rPr>
          <w:rFonts w:ascii="Times New Roman" w:hAnsi="Times New Roman"/>
        </w:rPr>
        <w:t>Január</w:t>
      </w:r>
      <w:proofErr w:type="gramEnd"/>
      <w:r>
        <w:rPr>
          <w:rFonts w:ascii="Times New Roman" w:hAnsi="Times New Roman"/>
        </w:rPr>
        <w:t xml:space="preserve"> 1-je után kiadott „E” kategóriás katonai vezetői engedély a kiállítástól számított 3 évig jogosít a tanfolyammentes vizsga letételére.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Bács-Kiskun Megyei Kormányhivatal Közlekedési Felügyelősége a jelentkezési lapra tett bejegyzéssel és a katonai vezetői engedély általa hitelesített fénymásolatának csatolásával engedélyezi.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Mentőtiszti,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1969. Július 1. És 1983. </w:t>
      </w:r>
      <w:proofErr w:type="gramStart"/>
      <w:r>
        <w:rPr>
          <w:rFonts w:ascii="Times New Roman" w:hAnsi="Times New Roman"/>
        </w:rPr>
        <w:t>December</w:t>
      </w:r>
      <w:proofErr w:type="gramEnd"/>
      <w:r>
        <w:rPr>
          <w:rFonts w:ascii="Times New Roman" w:hAnsi="Times New Roman"/>
        </w:rPr>
        <w:t xml:space="preserve"> 31. között „D” kategóriára vezetői engedélyt vagy „trolibusz” kategóriára járművezetői engedélyt szerzett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„Mezőgazdasági vontató”, „Segédmotoros kerékpár”, „Lassú jármű” kategóriákban közúti járművezetői jogosultságot szerzett.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Tanuló áthelyezése: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a tanuló a tanfolyam során valamilyen okból más képzőszervhez szeretne átigazolni, akkor ezt az iskolavezetőnek jeleznie kell. A tanulónak kötelessége a már </w:t>
      </w:r>
      <w:proofErr w:type="spellStart"/>
      <w:r>
        <w:rPr>
          <w:rFonts w:ascii="Times New Roman" w:hAnsi="Times New Roman"/>
        </w:rPr>
        <w:t>igénybevett</w:t>
      </w:r>
      <w:proofErr w:type="spellEnd"/>
      <w:r>
        <w:rPr>
          <w:rFonts w:ascii="Times New Roman" w:hAnsi="Times New Roman"/>
        </w:rPr>
        <w:t xml:space="preserve">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Oktatási helyszínek: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Elméleti oktatás:</w:t>
      </w:r>
      <w:r>
        <w:rPr>
          <w:rFonts w:ascii="Times New Roman" w:hAnsi="Times New Roman"/>
        </w:rPr>
        <w:t xml:space="preserve"> Kecskemét, Munkácsy u. 19.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Kalocsa, </w:t>
      </w:r>
      <w:proofErr w:type="spellStart"/>
      <w:r>
        <w:rPr>
          <w:rFonts w:ascii="Times New Roman" w:hAnsi="Times New Roman"/>
        </w:rPr>
        <w:t>Miskei</w:t>
      </w:r>
      <w:proofErr w:type="spellEnd"/>
      <w:r>
        <w:rPr>
          <w:rFonts w:ascii="Times New Roman" w:hAnsi="Times New Roman"/>
        </w:rPr>
        <w:t xml:space="preserve"> út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16., Felügyeleti szerv: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:rsidR="009C2E29" w:rsidRDefault="00000000">
      <w:pPr>
        <w:pStyle w:val="Szvegtrzs"/>
        <w:numPr>
          <w:ilvl w:val="0"/>
          <w:numId w:val="17"/>
        </w:numPr>
        <w:tabs>
          <w:tab w:val="left" w:pos="0"/>
        </w:tabs>
      </w:pPr>
      <w:r>
        <w:rPr>
          <w:rFonts w:ascii="Exo 2;sans-serif" w:hAnsi="Exo 2;sans-serif"/>
          <w:color w:val="010101"/>
        </w:rPr>
        <w:t>E-mail: info@kavk.hu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b/>
          <w:bCs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Fieldwork Geo;verdana" w:hAnsi="Fieldwork Geo;verdana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Székhely:</w:t>
      </w:r>
      <w:r>
        <w:rPr>
          <w:rFonts w:ascii="Fieldwork Geo;verdana" w:hAnsi="Fieldwork Geo;verdana"/>
          <w:color w:val="000000"/>
          <w:sz w:val="18"/>
          <w:szCs w:val="18"/>
        </w:rPr>
        <w:t> 1054 Budapest, Alkotmány utca 5.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Postai cím:</w:t>
      </w:r>
      <w:r>
        <w:rPr>
          <w:rFonts w:ascii="Fieldwork Geo;verdana" w:hAnsi="Fieldwork Geo;verdana"/>
          <w:color w:val="000000"/>
          <w:sz w:val="18"/>
          <w:szCs w:val="18"/>
        </w:rPr>
        <w:t> 1358 Budapest, Pf. 14.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E-mail:</w:t>
      </w:r>
      <w:r>
        <w:rPr>
          <w:rFonts w:ascii="Fieldwork Geo;verdana" w:hAnsi="Fieldwork Geo;verdana"/>
          <w:color w:val="000000"/>
          <w:sz w:val="18"/>
          <w:szCs w:val="18"/>
        </w:rPr>
        <w:t> </w:t>
      </w:r>
      <w:hyperlink r:id="rId9" w:tgtFrame="_blank">
        <w:r>
          <w:rPr>
            <w:rStyle w:val="Hiperhivatkozs"/>
            <w:rFonts w:ascii="Fieldwork Geo;verdana" w:hAnsi="Fieldwork Geo;verdana"/>
            <w:color w:val="323232"/>
            <w:sz w:val="18"/>
            <w:szCs w:val="18"/>
            <w:u w:val="none"/>
          </w:rPr>
          <w:t>info@ekm.gov.hu</w:t>
        </w:r>
      </w:hyperlink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17., A vizsgázó jogai, kötelezettségei: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 tanuló jogai: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első sikeres </w:t>
      </w:r>
      <w:proofErr w:type="spellStart"/>
      <w:r>
        <w:rPr>
          <w:rFonts w:ascii="Times New Roman" w:hAnsi="Times New Roman"/>
        </w:rPr>
        <w:t>kresz</w:t>
      </w:r>
      <w:proofErr w:type="spellEnd"/>
      <w:r>
        <w:rPr>
          <w:rFonts w:ascii="Times New Roman" w:hAnsi="Times New Roman"/>
        </w:rPr>
        <w:t xml:space="preserve"> vizsga időpontjától számított két év áll rendelkezésre ahhoz, hogy az összes vizsgáit befejezze.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megkezdése előtt tájékozódni és megismerni a képzőszerv vállalkozási feltételeit és a tájékoztatóját a képzés menetéről.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képzést megszakítani, a pénzét a meghatározott feltételek mellett visszakérni és a tanfolyam elvégzett részéről hivatalos igazolást kérni.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 tanfolyamról való hiányzások pótlása érdekében az általunk felkínált pótórán is részt vehet vagy más tanfolyam is igénybe vehető.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gyakorlati vezetés időpontjait oktatójával egyeztetni.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Oktatót – és az iskola által felkínált lehetőségek közül – autó típust választani, és azon a járművön vizsgázni, amelyiken tanult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 sikeres </w:t>
      </w:r>
      <w:proofErr w:type="spellStart"/>
      <w:r>
        <w:rPr>
          <w:rFonts w:ascii="Times New Roman" w:hAnsi="Times New Roman"/>
        </w:rPr>
        <w:t>kresz</w:t>
      </w:r>
      <w:proofErr w:type="spellEnd"/>
      <w:r>
        <w:rPr>
          <w:rFonts w:ascii="Times New Roman" w:hAnsi="Times New Roman"/>
        </w:rPr>
        <w:t xml:space="preserve"> vizsgától számított két éven belül) </w:t>
      </w:r>
      <w:proofErr w:type="spellStart"/>
      <w:r>
        <w:rPr>
          <w:rFonts w:ascii="Times New Roman" w:hAnsi="Times New Roman"/>
        </w:rPr>
        <w:t>ötszöri</w:t>
      </w:r>
      <w:proofErr w:type="spellEnd"/>
      <w:r>
        <w:rPr>
          <w:rFonts w:ascii="Times New Roman" w:hAnsi="Times New Roman"/>
        </w:rPr>
        <w:t xml:space="preserve"> sikertelen forgalmi vizsga után a tanuló PÁV vizsgára mehet, mely sikeressége esetén újra vizsgázhat forgalomban</w:t>
      </w:r>
    </w:p>
    <w:p w:rsidR="009C2E29" w:rsidRDefault="00000000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Köteles a tanuló: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tandíjat a szolgáltatás igénybevétele előtt megfizetni.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képzőszerv tanulmányi és pénzügyi rendelkezéseit betartani.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elméleti, gyakorlati foglalkozásokon józan, kipihent állapotban megjelenni. (Kétkerekű jármű gyakorlati oktatása és vizsgája esetén megfelelő öltözetben megjelenni, időjárástól függetlenül.)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tanfolyami órákra készülni és az oktatói utasításokat követni.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Késés esetén az oktatóra legalább 20 percet várni.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Mulasztásait, hiányzásait pótolni.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munka- és tűzvédelmi előírásokat betartani.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személyazonosító igazolványát, lakcímet igazoló hatósági igazolványát, és ha rendelkezik vezető engedéllyel, azt minden vizsgára magával vinni.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18., Vizsgadíjak: (2024.02.03-tól)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7"/>
        <w:gridCol w:w="911"/>
        <w:gridCol w:w="1668"/>
      </w:tblGrid>
      <w:tr w:rsidR="009C2E29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9C2E2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kresz</w:t>
            </w:r>
            <w:proofErr w:type="spellEnd"/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Szü</w:t>
            </w:r>
            <w:proofErr w:type="spellEnd"/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R/JK*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F*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össz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9C2E29">
        <w:tc>
          <w:tcPr>
            <w:tcW w:w="11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9.000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43.500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4.600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7.200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24.900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7" w:type="dxa"/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65.200</w:t>
            </w:r>
          </w:p>
        </w:tc>
      </w:tr>
      <w:tr w:rsidR="009C2E29">
        <w:tc>
          <w:tcPr>
            <w:tcW w:w="11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10.500</w:t>
            </w:r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9.700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24.000</w:t>
            </w:r>
          </w:p>
        </w:tc>
        <w:tc>
          <w:tcPr>
            <w:tcW w:w="1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54.700</w:t>
            </w:r>
          </w:p>
        </w:tc>
      </w:tr>
    </w:tbl>
    <w:p w:rsidR="009C2E29" w:rsidRDefault="009C2E29"/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belül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</w:t>
      </w:r>
      <w:proofErr w:type="spellEnd"/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vagy A2 alkategória megszerzését követő két éven túl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Vizsgadíjakat tanulóink az autósiskolának fizetik be, iskolánk pedig befizeti a KAV részére.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elméleti-, gyakorlati- és egészségügyi vizsga igazolás megszerzését követően gépjármú vezetői engedélyét az Okmányirodában veheti át.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19., A képzőszerv jogai: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költségeit tekintve mindig az aktuális díjszabás az iránymutató</w:t>
      </w:r>
      <w:hyperlink r:id="rId10" w:tgtFrame="_blank">
        <w:r>
          <w:rPr>
            <w:rFonts w:ascii="Times New Roman" w:hAnsi="Times New Roman"/>
          </w:rPr>
          <w:t>.</w:t>
        </w:r>
      </w:hyperlink>
    </w:p>
    <w:p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 képzést érintő jogszabályban változás áll be, a képzőszervnek joga van a tanfolyamdíjat a mindenkori oktatási tematikában szereplő követelményeknek megfelelően alakítani.</w:t>
      </w:r>
    </w:p>
    <w:p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a hallgató valamilyen okból kifolyólag a szerződést megszünteti, a képzőszervnek joga van az addig </w:t>
      </w:r>
      <w:proofErr w:type="spellStart"/>
      <w:r>
        <w:rPr>
          <w:rFonts w:ascii="Times New Roman" w:hAnsi="Times New Roman"/>
        </w:rPr>
        <w:t>igénybevett</w:t>
      </w:r>
      <w:proofErr w:type="spellEnd"/>
      <w:r>
        <w:rPr>
          <w:rFonts w:ascii="Times New Roman" w:hAnsi="Times New Roman"/>
        </w:rPr>
        <w:t xml:space="preserve"> szolgáltatásért járó teljes tanfolyamdíjat, valamint a kezelési költséget levonni. (kezelési költség: 25000 Ft)</w:t>
      </w:r>
    </w:p>
    <w:p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esetleges akciós tanfolyamdíjak csak abban az esetben érvényesek, ha a tanuló a teljes tanfolyamot nálunk végzi el. Amennyiben a tanfolyam vége előtt kéri </w:t>
      </w:r>
      <w:r>
        <w:rPr>
          <w:rFonts w:ascii="Times New Roman" w:hAnsi="Times New Roman"/>
        </w:rPr>
        <w:lastRenderedPageBreak/>
        <w:t>áthelyezését, a már igénybe vett szolgáltatásokért az aktuálisan érvényes, nem akciós díjakat köteles megfizetni.</w:t>
      </w:r>
    </w:p>
    <w:p w:rsidR="009C2E29" w:rsidRDefault="009C2E29">
      <w:pPr>
        <w:pStyle w:val="Nincstrkz"/>
        <w:ind w:left="1440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képzőszerv kötelességei: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érvényben lévő oktatási tematika, valamint a vállalkozási feltételekben foglaltak szerint végzi a teljes tanfolyami képzést.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Járművezetésre jogosító okmányok kiadásának feltételei: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Vezetői engedélyt csak olyan kérelmezőnek lehet kiadni, akinek a szokásos tartózkodási helye Magyarország területén van, valamint nem magyar állampolgár esetében az engedély kiadását megelőző hat hónapban Magyarországon tartózkodott.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</w:pPr>
      <w:r>
        <w:rPr>
          <w:rFonts w:ascii="Times New Roman" w:hAnsi="Times New Roman"/>
        </w:rPr>
        <w:t xml:space="preserve">A jelentkezés feltételeit, ill. a vizsgadíj táblázatát megtalálják az előző oldalakon. Az elsősegélynyújtás és közlekedési egészségtan oktatását és vizsgáztatását a Vöröskereszt végzi. A foglalkozások az </w:t>
      </w:r>
      <w:proofErr w:type="spellStart"/>
      <w:r>
        <w:rPr>
          <w:rFonts w:ascii="Times New Roman" w:hAnsi="Times New Roman"/>
        </w:rPr>
        <w:t>autósiskola</w:t>
      </w:r>
      <w:proofErr w:type="spellEnd"/>
      <w:r>
        <w:rPr>
          <w:rFonts w:ascii="Times New Roman" w:hAnsi="Times New Roman"/>
        </w:rPr>
        <w:t xml:space="preserve"> oktatótermeiben történnek s a tanfolyam befejeztével a hallgatók a Vöröskeresztnél vizsgáznak. Ennek a megszervezését a képzőszerv vállalja. </w:t>
      </w:r>
    </w:p>
    <w:sectPr w:rsidR="009C2E29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670" w:rsidRDefault="006F3670">
      <w:r>
        <w:separator/>
      </w:r>
    </w:p>
  </w:endnote>
  <w:endnote w:type="continuationSeparator" w:id="0">
    <w:p w:rsidR="006F3670" w:rsidRDefault="006F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xo 2;sans-serif">
    <w:altName w:val="Cambria"/>
    <w:panose1 w:val="00000000000000000000"/>
    <w:charset w:val="00"/>
    <w:family w:val="roman"/>
    <w:notTrueType/>
    <w:pitch w:val="default"/>
  </w:font>
  <w:font w:name="Fieldwork Geo;verdan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670" w:rsidRDefault="006F3670">
      <w:r>
        <w:separator/>
      </w:r>
    </w:p>
  </w:footnote>
  <w:footnote w:type="continuationSeparator" w:id="0">
    <w:p w:rsidR="006F3670" w:rsidRDefault="006F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729750"/>
      <w:docPartObj>
        <w:docPartGallery w:val="Page Numbers (Top of Page)"/>
        <w:docPartUnique/>
      </w:docPartObj>
    </w:sdtPr>
    <w:sdtContent>
      <w:p w:rsidR="009C2E29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9C2E29" w:rsidRDefault="009C2E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24E8"/>
    <w:multiLevelType w:val="multilevel"/>
    <w:tmpl w:val="429CB01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57EA3"/>
    <w:multiLevelType w:val="multilevel"/>
    <w:tmpl w:val="F036F17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97643F"/>
    <w:multiLevelType w:val="multilevel"/>
    <w:tmpl w:val="0C2A176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3398"/>
    <w:multiLevelType w:val="multilevel"/>
    <w:tmpl w:val="2D4AC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B434E3"/>
    <w:multiLevelType w:val="multilevel"/>
    <w:tmpl w:val="3FF06A2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92D4A"/>
    <w:multiLevelType w:val="multilevel"/>
    <w:tmpl w:val="3734176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771834"/>
    <w:multiLevelType w:val="multilevel"/>
    <w:tmpl w:val="922C49D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FF3129"/>
    <w:multiLevelType w:val="multilevel"/>
    <w:tmpl w:val="3A564BA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AC5031"/>
    <w:multiLevelType w:val="multilevel"/>
    <w:tmpl w:val="5016BC0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1106F"/>
    <w:multiLevelType w:val="multilevel"/>
    <w:tmpl w:val="66F2EDD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CD3AA2"/>
    <w:multiLevelType w:val="multilevel"/>
    <w:tmpl w:val="0DE44C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1F4211"/>
    <w:multiLevelType w:val="multilevel"/>
    <w:tmpl w:val="B6928F4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34E39"/>
    <w:multiLevelType w:val="multilevel"/>
    <w:tmpl w:val="5E240C54"/>
    <w:lvl w:ilvl="0">
      <w:start w:val="6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5B6E70"/>
    <w:multiLevelType w:val="multilevel"/>
    <w:tmpl w:val="327AE7D2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5831E4"/>
    <w:multiLevelType w:val="multilevel"/>
    <w:tmpl w:val="60948F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74687"/>
    <w:multiLevelType w:val="multilevel"/>
    <w:tmpl w:val="DDB4CC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214C07"/>
    <w:multiLevelType w:val="multilevel"/>
    <w:tmpl w:val="F51865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DC64A0"/>
    <w:multiLevelType w:val="multilevel"/>
    <w:tmpl w:val="481A96A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807354870">
    <w:abstractNumId w:val="13"/>
  </w:num>
  <w:num w:numId="2" w16cid:durableId="2001738598">
    <w:abstractNumId w:val="0"/>
  </w:num>
  <w:num w:numId="3" w16cid:durableId="1159468474">
    <w:abstractNumId w:val="6"/>
  </w:num>
  <w:num w:numId="4" w16cid:durableId="1866943921">
    <w:abstractNumId w:val="1"/>
  </w:num>
  <w:num w:numId="5" w16cid:durableId="387726200">
    <w:abstractNumId w:val="14"/>
  </w:num>
  <w:num w:numId="6" w16cid:durableId="1860850175">
    <w:abstractNumId w:val="15"/>
  </w:num>
  <w:num w:numId="7" w16cid:durableId="1872453175">
    <w:abstractNumId w:val="9"/>
  </w:num>
  <w:num w:numId="8" w16cid:durableId="1125270911">
    <w:abstractNumId w:val="11"/>
  </w:num>
  <w:num w:numId="9" w16cid:durableId="1733691780">
    <w:abstractNumId w:val="8"/>
  </w:num>
  <w:num w:numId="10" w16cid:durableId="557739818">
    <w:abstractNumId w:val="4"/>
  </w:num>
  <w:num w:numId="11" w16cid:durableId="1293560335">
    <w:abstractNumId w:val="16"/>
  </w:num>
  <w:num w:numId="12" w16cid:durableId="1345061185">
    <w:abstractNumId w:val="2"/>
  </w:num>
  <w:num w:numId="13" w16cid:durableId="2118400875">
    <w:abstractNumId w:val="7"/>
  </w:num>
  <w:num w:numId="14" w16cid:durableId="1226993363">
    <w:abstractNumId w:val="10"/>
  </w:num>
  <w:num w:numId="15" w16cid:durableId="639387298">
    <w:abstractNumId w:val="12"/>
  </w:num>
  <w:num w:numId="16" w16cid:durableId="965083452">
    <w:abstractNumId w:val="5"/>
  </w:num>
  <w:num w:numId="17" w16cid:durableId="1017078562">
    <w:abstractNumId w:val="17"/>
  </w:num>
  <w:num w:numId="18" w16cid:durableId="31110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29"/>
    <w:rsid w:val="00253A72"/>
    <w:rsid w:val="006F3670"/>
    <w:rsid w:val="009C2E29"/>
    <w:rsid w:val="00A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F30C"/>
  <w15:docId w15:val="{C2676354-DC06-4E8D-A0A9-E30331F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D7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B27D76"/>
    <w:rPr>
      <w:b/>
      <w:bCs/>
    </w:rPr>
  </w:style>
  <w:style w:type="character" w:customStyle="1" w:styleId="apple-converted-space">
    <w:name w:val="apple-converted-space"/>
    <w:basedOn w:val="Bekezdsalapbettpusa"/>
    <w:qFormat/>
    <w:rsid w:val="00543BC4"/>
  </w:style>
  <w:style w:type="character" w:customStyle="1" w:styleId="lfejChar">
    <w:name w:val="Élőfej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0336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Internet-hivatkozs">
    <w:name w:val="Internet-hivatkozás"/>
    <w:uiPriority w:val="99"/>
    <w:unhideWhenUsed/>
    <w:qFormat/>
    <w:rsid w:val="00FA4236"/>
    <w:rPr>
      <w:color w:val="000080"/>
      <w:u w:val="single"/>
    </w:rPr>
  </w:style>
  <w:style w:type="character" w:styleId="Hiperhivatkozs">
    <w:name w:val="Hyper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B27D76"/>
    <w:rPr>
      <w:rFonts w:cs="Times New Roman"/>
    </w:rPr>
  </w:style>
  <w:style w:type="paragraph" w:styleId="NormlWeb">
    <w:name w:val="Normal (Web)"/>
    <w:basedOn w:val="Norml"/>
    <w:uiPriority w:val="99"/>
    <w:semiHidden/>
    <w:unhideWhenUsed/>
    <w:qFormat/>
    <w:rsid w:val="00543BC4"/>
    <w:pPr>
      <w:spacing w:beforeAutospacing="1" w:afterAutospacing="1"/>
    </w:p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0336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blzatfejlc">
    <w:name w:val="Táblázatfejléc"/>
    <w:qFormat/>
    <w:pPr>
      <w:widowControl w:val="0"/>
      <w:jc w:val="center"/>
    </w:pPr>
    <w:rPr>
      <w:b/>
    </w:rPr>
  </w:style>
  <w:style w:type="paragraph" w:customStyle="1" w:styleId="Tblzattartalom">
    <w:name w:val="Táblázattartalom"/>
    <w:basedOn w:val="Norml"/>
    <w:qFormat/>
    <w:pPr>
      <w:widowControl w:val="0"/>
    </w:pPr>
  </w:style>
  <w:style w:type="table" w:styleId="Rcsostblzat">
    <w:name w:val="Table Grid"/>
    <w:basedOn w:val="Normltblzat"/>
    <w:uiPriority w:val="59"/>
    <w:rsid w:val="00E7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an1@t-onlin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k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70DB-039E-4EF0-AFF9-889A1F2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3223</Words>
  <Characters>22243</Characters>
  <Application>Microsoft Office Word</Application>
  <DocSecurity>0</DocSecurity>
  <Lines>185</Lines>
  <Paragraphs>50</Paragraphs>
  <ScaleCrop>false</ScaleCrop>
  <Company/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2</cp:revision>
  <dcterms:created xsi:type="dcterms:W3CDTF">2024-08-29T14:59:00Z</dcterms:created>
  <dcterms:modified xsi:type="dcterms:W3CDTF">2024-08-29T14:59:00Z</dcterms:modified>
  <dc:language>hu-HU</dc:language>
</cp:coreProperties>
</file>